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aap0zy14qyzq" w:id="0"/>
      <w:bookmarkEnd w:id="0"/>
      <w:r w:rsidDel="00000000" w:rsidR="00000000" w:rsidRPr="00000000">
        <w:rPr>
          <w:rtl w:val="0"/>
        </w:rPr>
        <w:t xml:space="preserve">IMA Change Log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aap0zy14qyzq" w:id="0"/>
      <w:bookmarkEnd w:id="0"/>
      <w:r w:rsidDel="00000000" w:rsidR="00000000" w:rsidRPr="00000000">
        <w:rPr>
          <w:rtl w:val="0"/>
        </w:rPr>
        <w:t xml:space="preserve">Version 2.0 - for release August 2019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7gaq7jah6zcd" w:id="1"/>
      <w:bookmarkEnd w:id="1"/>
      <w:r w:rsidDel="00000000" w:rsidR="00000000" w:rsidRPr="00000000">
        <w:rPr>
          <w:rtl w:val="0"/>
        </w:rPr>
        <w:t xml:space="preserve">Features and Improvements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IWMM official logo, survey description, and contact information to opening page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Attribute labels align to Avian Knowledge Network (AKN) observation fields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real-time capture of Start and End time fields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more descriptive error messages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instructions for water depth, vegetation height, and habitat cover questions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fields to capture “other methods” used in water depth estimation, flood duration assessment, and “other” disturbance sources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a summary window to reflect species and count entries in “Waterbird Counts”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Added ability to record multiple counts of the same species and aggregate values in AKN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Added a summary page for each survey unit that displays data in the same structure as the AKN for easy data review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“Waterbird Counts” and “Site Conditions” questions are initially in collapsed blocks to reduce screen clutter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Made more questions conditional to reduce screen clutter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Included Inbox and features to support synchronized editing with the distributed database in ArcGIS Online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Captured UTC offset in case a date is incorrectly calculated during data entry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Removed default values for start temp, visibility, and bird counts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7ggn28hjrc34" w:id="2"/>
      <w:bookmarkEnd w:id="2"/>
      <w:r w:rsidDel="00000000" w:rsidR="00000000" w:rsidRPr="00000000">
        <w:rPr>
          <w:rtl w:val="0"/>
        </w:rPr>
        <w:t xml:space="preserve">Bug Fixes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dates aren’t allowed to be input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gauge level can’t be negative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Number of other observers can’t be negative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salinity measure less than 0.5 is automatically converted to zero during submission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dt05jbz5xt77" w:id="3"/>
      <w:bookmarkEnd w:id="3"/>
      <w:r w:rsidDel="00000000" w:rsidR="00000000" w:rsidRPr="00000000">
        <w:rPr>
          <w:rtl w:val="0"/>
        </w:rPr>
        <w:t xml:space="preserve">Known Issues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Unable to delete individual survey units (page 2) after submitting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 selected doesn’t reflect date recorded if the application isn’t given access to the tablet’s location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only increment by one for water depth, vegetation height, and habitat cover fields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“Waterbird Counts” summary doesn’t reflect entered values when retrieved from the inbox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record placeholder is retained for “Waterbird Counts” data if the species is deleted in an editing session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 and End time values may be lost from page 2 if survey unit names are changed after the survey is initially sent, but are retained on the page 3 summary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